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2EB09" w14:textId="77777777" w:rsidR="00CD300E" w:rsidRDefault="00CD300E" w:rsidP="007B6986">
      <w:pPr>
        <w:spacing w:line="276" w:lineRule="auto"/>
        <w:rPr>
          <w:lang w:eastAsia="zh-CN"/>
        </w:rPr>
      </w:pPr>
      <w:bookmarkStart w:id="0" w:name="_GoBack"/>
      <w:bookmarkEnd w:id="0"/>
    </w:p>
    <w:p w14:paraId="520F95EE" w14:textId="77777777" w:rsidR="00CD300E" w:rsidRDefault="00CD300E" w:rsidP="007B6986">
      <w:pPr>
        <w:spacing w:line="276" w:lineRule="auto"/>
      </w:pPr>
    </w:p>
    <w:p w14:paraId="3AF7A740" w14:textId="77777777" w:rsidR="00CD300E" w:rsidRDefault="00CD300E" w:rsidP="007B6986">
      <w:pPr>
        <w:spacing w:line="276" w:lineRule="auto"/>
      </w:pPr>
    </w:p>
    <w:p w14:paraId="539803EB" w14:textId="71A1C647" w:rsidR="006C2227" w:rsidRDefault="000A3647" w:rsidP="007B6986">
      <w:pPr>
        <w:spacing w:line="276" w:lineRule="auto"/>
        <w:jc w:val="center"/>
      </w:pPr>
      <w:r>
        <w:rPr>
          <w:sz w:val="48"/>
          <w:szCs w:val="48"/>
        </w:rPr>
        <w:t>Foreword</w:t>
      </w:r>
    </w:p>
    <w:p w14:paraId="219056E6" w14:textId="77777777" w:rsidR="00670F50" w:rsidRDefault="006C63DD" w:rsidP="007B6986">
      <w:pPr>
        <w:spacing w:line="276" w:lineRule="auto"/>
      </w:pPr>
      <w:r>
        <w:tab/>
      </w:r>
    </w:p>
    <w:p w14:paraId="3937751B" w14:textId="39627AB7" w:rsidR="00731ADA" w:rsidRDefault="006A5D1E" w:rsidP="007B6986">
      <w:pPr>
        <w:spacing w:line="276" w:lineRule="auto"/>
        <w:rPr>
          <w:rFonts w:eastAsia="Times New Roman" w:cs="Calibri"/>
          <w:color w:val="000000"/>
          <w:szCs w:val="24"/>
          <w:lang w:eastAsia="zh-CN"/>
        </w:rPr>
      </w:pPr>
      <w:r w:rsidRPr="006A5D1E">
        <w:rPr>
          <w:rFonts w:eastAsia="Times New Roman" w:cs="Calibri"/>
          <w:color w:val="000000"/>
          <w:szCs w:val="24"/>
          <w:lang w:eastAsia="zh-CN"/>
        </w:rPr>
        <w:t xml:space="preserve">Two passages illustrate the depth of Victor </w:t>
      </w:r>
      <w:proofErr w:type="spellStart"/>
      <w:r w:rsidRPr="006A5D1E">
        <w:rPr>
          <w:rFonts w:eastAsia="Times New Roman" w:cs="Calibri"/>
          <w:color w:val="000000"/>
          <w:szCs w:val="24"/>
          <w:lang w:eastAsia="zh-CN"/>
        </w:rPr>
        <w:t>Xiong’s</w:t>
      </w:r>
      <w:proofErr w:type="spellEnd"/>
      <w:r w:rsidRPr="006A5D1E">
        <w:rPr>
          <w:rFonts w:eastAsia="Times New Roman" w:cs="Calibri"/>
          <w:color w:val="000000"/>
          <w:szCs w:val="24"/>
          <w:lang w:eastAsia="zh-CN"/>
        </w:rPr>
        <w:t xml:space="preserve"> portrayal of Emperor Tang </w:t>
      </w:r>
      <w:proofErr w:type="spellStart"/>
      <w:r w:rsidRPr="006A5D1E">
        <w:rPr>
          <w:rFonts w:eastAsia="Times New Roman" w:cs="Calibri"/>
          <w:color w:val="000000"/>
          <w:szCs w:val="24"/>
          <w:lang w:eastAsia="zh-CN"/>
        </w:rPr>
        <w:t>Taizong</w:t>
      </w:r>
      <w:proofErr w:type="spellEnd"/>
      <w:r w:rsidRPr="006A5D1E">
        <w:rPr>
          <w:rFonts w:eastAsia="Times New Roman" w:cs="Calibri"/>
          <w:color w:val="000000"/>
          <w:szCs w:val="24"/>
          <w:lang w:eastAsia="zh-CN"/>
        </w:rPr>
        <w:t xml:space="preserve"> </w:t>
      </w:r>
      <w:proofErr w:type="gramStart"/>
      <w:r w:rsidRPr="006A5D1E">
        <w:rPr>
          <w:rFonts w:eastAsia="Times New Roman" w:cs="Calibri"/>
          <w:color w:val="000000"/>
          <w:szCs w:val="24"/>
          <w:lang w:eastAsia="zh-CN"/>
        </w:rPr>
        <w:t>in  </w:t>
      </w:r>
      <w:r w:rsidRPr="006A5D1E">
        <w:rPr>
          <w:rFonts w:eastAsia="Times New Roman" w:cs="Calibri"/>
          <w:i/>
          <w:iCs/>
          <w:color w:val="000000"/>
          <w:szCs w:val="24"/>
          <w:lang w:eastAsia="zh-CN"/>
        </w:rPr>
        <w:t>Heavenly</w:t>
      </w:r>
      <w:proofErr w:type="gramEnd"/>
      <w:r w:rsidRPr="006A5D1E">
        <w:rPr>
          <w:rFonts w:eastAsia="Times New Roman" w:cs="Calibri"/>
          <w:i/>
          <w:iCs/>
          <w:color w:val="000000"/>
          <w:szCs w:val="24"/>
          <w:lang w:eastAsia="zh-CN"/>
        </w:rPr>
        <w:t xml:space="preserve"> Khan</w:t>
      </w:r>
      <w:r w:rsidRPr="006A5D1E">
        <w:rPr>
          <w:rFonts w:eastAsia="Times New Roman" w:cs="Calibri"/>
          <w:color w:val="000000"/>
          <w:szCs w:val="24"/>
          <w:lang w:eastAsia="zh-CN"/>
        </w:rPr>
        <w:t xml:space="preserve">.  In the first passage, the emperor asks his court historians if he may see what they are writing about him.  The historians decline the request.  Their duty, they affirm, is to provide a dispassionate record and evaluation of events for the use of rulers to come.  If the emperor saw what was written, the historians would violate their charge by becoming historical actors. </w:t>
      </w:r>
    </w:p>
    <w:p w14:paraId="00A4F0CD" w14:textId="1F944FCC" w:rsidR="006A5D1E" w:rsidRPr="00670F50" w:rsidRDefault="006A5D1E" w:rsidP="007B6986">
      <w:pPr>
        <w:spacing w:line="276" w:lineRule="auto"/>
        <w:rPr>
          <w:rFonts w:ascii="Calibri" w:eastAsia="Times New Roman" w:hAnsi="Calibri" w:cs="Calibri"/>
          <w:color w:val="000000"/>
          <w:szCs w:val="24"/>
          <w:lang w:eastAsia="zh-CN"/>
        </w:rPr>
      </w:pPr>
      <w:r w:rsidRPr="006A5D1E">
        <w:rPr>
          <w:rFonts w:eastAsia="Times New Roman" w:cs="Calibri"/>
          <w:color w:val="000000"/>
          <w:szCs w:val="24"/>
          <w:lang w:eastAsia="zh-CN"/>
        </w:rPr>
        <w:t xml:space="preserve">The second passage comes in an account of the emperor’s rise to becoming the undisputed ruler of China.  A crucial step involves the assassination of his brother.  </w:t>
      </w:r>
      <w:r w:rsidRPr="00670F50">
        <w:rPr>
          <w:rFonts w:eastAsia="Times New Roman" w:cs="Calibri"/>
          <w:bCs/>
          <w:color w:val="000000"/>
          <w:szCs w:val="24"/>
          <w:lang w:eastAsia="zh-CN"/>
        </w:rPr>
        <w:t xml:space="preserve">The emperor consults his diviners about a particular day for doing the deed.  Is </w:t>
      </w:r>
      <w:proofErr w:type="spellStart"/>
      <w:r w:rsidRPr="00670F50">
        <w:rPr>
          <w:rFonts w:eastAsia="Times New Roman" w:cs="Calibri"/>
          <w:bCs/>
          <w:color w:val="000000"/>
          <w:szCs w:val="24"/>
          <w:lang w:eastAsia="zh-CN"/>
        </w:rPr>
        <w:t>plastromancy</w:t>
      </w:r>
      <w:proofErr w:type="spellEnd"/>
      <w:r w:rsidRPr="00670F50">
        <w:rPr>
          <w:rFonts w:eastAsia="Times New Roman" w:cs="Calibri"/>
          <w:bCs/>
          <w:color w:val="000000"/>
          <w:szCs w:val="24"/>
          <w:lang w:eastAsia="zh-CN"/>
        </w:rPr>
        <w:t xml:space="preserve"> (divination using the flat part of tortoise shells) auspicious for the undertaking, he wonders?  The diviners turn the question around.  They ask, would the emperor’s resolve waiver if the tortoise shells were unfavorable?  The emperor is firmly decided to act:  No, the stars shall neither encourage nor dissuade him.</w:t>
      </w:r>
      <w:r w:rsidRPr="00670F50">
        <w:rPr>
          <w:rFonts w:eastAsia="Times New Roman" w:cs="Calibri"/>
          <w:color w:val="000000"/>
          <w:szCs w:val="24"/>
          <w:lang w:eastAsia="zh-CN"/>
        </w:rPr>
        <w:t xml:space="preserve">  He eliminates his rival successfully, helped by the fortuitous intervention of a loyal subordinate.  </w:t>
      </w:r>
    </w:p>
    <w:p w14:paraId="52B68937" w14:textId="77777777" w:rsidR="006A5D1E" w:rsidRPr="006A5D1E" w:rsidRDefault="006A5D1E" w:rsidP="007B6986">
      <w:pPr>
        <w:spacing w:line="276" w:lineRule="auto"/>
        <w:rPr>
          <w:rFonts w:ascii="Calibri" w:eastAsia="Times New Roman" w:hAnsi="Calibri" w:cs="Calibri"/>
          <w:color w:val="000000"/>
          <w:szCs w:val="24"/>
          <w:lang w:eastAsia="zh-CN"/>
        </w:rPr>
      </w:pPr>
      <w:r w:rsidRPr="00670F50">
        <w:rPr>
          <w:rFonts w:eastAsia="Times New Roman" w:cs="Calibri"/>
          <w:color w:val="000000"/>
          <w:szCs w:val="24"/>
          <w:lang w:eastAsia="zh-CN"/>
        </w:rPr>
        <w:t>            In these passages the reader supplies generalizations left unsaid.  The imperial court included counselors who were respected for an allegiance to their learned discipline—counselors who also understood that scholarly judgment had to be shared carefully with men of action.  The historians knew that if their writing displeased the emperor, they could lose their position and their head; almost as bad, if the emperor were pleased with the commentary, he could become careless in future deliberations.  In the same way, t</w:t>
      </w:r>
      <w:r w:rsidRPr="00670F50">
        <w:rPr>
          <w:rFonts w:eastAsia="Times New Roman" w:cs="Calibri"/>
          <w:bCs/>
          <w:color w:val="000000"/>
          <w:szCs w:val="24"/>
          <w:lang w:eastAsia="zh-CN"/>
        </w:rPr>
        <w:t xml:space="preserve">he diviners understood that whatever the tortoise shells </w:t>
      </w:r>
      <w:r w:rsidRPr="00670F50">
        <w:rPr>
          <w:rFonts w:eastAsia="Times New Roman" w:cs="Calibri"/>
          <w:color w:val="000000"/>
          <w:szCs w:val="24"/>
          <w:lang w:eastAsia="zh-CN"/>
        </w:rPr>
        <w:t xml:space="preserve">revealed would be perilous to relate, and not </w:t>
      </w:r>
      <w:r w:rsidRPr="00670F50">
        <w:rPr>
          <w:rFonts w:eastAsia="Times New Roman" w:cs="Calibri"/>
          <w:bCs/>
          <w:color w:val="000000"/>
          <w:szCs w:val="24"/>
          <w:lang w:eastAsia="zh-CN"/>
        </w:rPr>
        <w:t xml:space="preserve">only if the patterns </w:t>
      </w:r>
      <w:r w:rsidRPr="00670F50">
        <w:rPr>
          <w:rFonts w:eastAsia="Times New Roman" w:cs="Calibri"/>
          <w:color w:val="000000"/>
          <w:szCs w:val="24"/>
          <w:lang w:eastAsia="zh-CN"/>
        </w:rPr>
        <w:t xml:space="preserve">were auspicious and the emperor’s initiative failed.  An </w:t>
      </w:r>
      <w:r w:rsidRPr="00670F50">
        <w:rPr>
          <w:rFonts w:eastAsia="Times New Roman" w:cs="Calibri"/>
          <w:bCs/>
          <w:color w:val="000000"/>
          <w:szCs w:val="24"/>
          <w:lang w:eastAsia="zh-CN"/>
        </w:rPr>
        <w:t xml:space="preserve">inauspicious divination </w:t>
      </w:r>
      <w:r w:rsidRPr="00670F50">
        <w:rPr>
          <w:rFonts w:eastAsia="Times New Roman" w:cs="Calibri"/>
          <w:color w:val="000000"/>
          <w:szCs w:val="24"/>
          <w:lang w:eastAsia="zh-CN"/>
        </w:rPr>
        <w:t xml:space="preserve">could dissuade the emperor from acting, and as a consequence all later reversals would come back to their report; if the emperor acted and succeeded in the face of heaven’s frown, the </w:t>
      </w:r>
      <w:r w:rsidRPr="00670F50">
        <w:rPr>
          <w:rFonts w:eastAsia="Times New Roman" w:cs="Calibri"/>
          <w:bCs/>
          <w:color w:val="000000"/>
          <w:szCs w:val="24"/>
          <w:lang w:eastAsia="zh-CN"/>
        </w:rPr>
        <w:t>diviner's expertise</w:t>
      </w:r>
      <w:r w:rsidRPr="006A5D1E">
        <w:rPr>
          <w:rFonts w:eastAsia="Times New Roman" w:cs="Calibri"/>
          <w:color w:val="000000"/>
          <w:szCs w:val="24"/>
          <w:lang w:eastAsia="zh-CN"/>
        </w:rPr>
        <w:t xml:space="preserve"> would be compromised.  The emperor certainly perceived these political calculations in the mind of his advisors, but he also knew that without intellectual independence, counselors have little value.  </w:t>
      </w:r>
    </w:p>
    <w:p w14:paraId="64CCD9E3" w14:textId="449AC5D9" w:rsidR="0016016A" w:rsidRDefault="006C63DD" w:rsidP="007B6986">
      <w:pPr>
        <w:spacing w:line="276" w:lineRule="auto"/>
      </w:pPr>
      <w:r>
        <w:tab/>
      </w:r>
      <w:r w:rsidR="00AC5514">
        <w:t>Vict</w:t>
      </w:r>
      <w:r w:rsidR="000A3647">
        <w:t xml:space="preserve">or </w:t>
      </w:r>
      <w:proofErr w:type="spellStart"/>
      <w:r w:rsidR="000A3647">
        <w:t>Xiong’s</w:t>
      </w:r>
      <w:proofErr w:type="spellEnd"/>
      <w:r w:rsidR="000A3647">
        <w:t xml:space="preserve"> Tang </w:t>
      </w:r>
      <w:proofErr w:type="spellStart"/>
      <w:r w:rsidR="000A3647">
        <w:t>Taizong</w:t>
      </w:r>
      <w:proofErr w:type="spellEnd"/>
      <w:r w:rsidR="000A3647">
        <w:t xml:space="preserve"> is usefully compared with the kings portrayed by one of Europe’s greatest writers.  </w:t>
      </w:r>
      <w:r w:rsidR="00F17D89">
        <w:t>In his comprehensive account</w:t>
      </w:r>
      <w:r>
        <w:t>,</w:t>
      </w:r>
      <w:r w:rsidR="00F17D89">
        <w:t xml:space="preserve"> </w:t>
      </w:r>
      <w:r w:rsidR="00F17D89" w:rsidRPr="00981238">
        <w:rPr>
          <w:i/>
        </w:rPr>
        <w:t>The English and Their History</w:t>
      </w:r>
      <w:r w:rsidR="00F17D89">
        <w:rPr>
          <w:i/>
        </w:rPr>
        <w:t>,</w:t>
      </w:r>
      <w:r w:rsidR="00F17D89">
        <w:t xml:space="preserve"> </w:t>
      </w:r>
      <w:r w:rsidR="00981238">
        <w:t xml:space="preserve">Robert Tombs has </w:t>
      </w:r>
      <w:r w:rsidR="00F17D89">
        <w:t>recently emphasized</w:t>
      </w:r>
      <w:r w:rsidR="00981238">
        <w:t xml:space="preserve"> that the English see themselves as a cohesive people in part through the theatrical representations of medieval kings and their companions written by William Shakespeare, whose histories have been staged for half a millennium.</w:t>
      </w:r>
      <w:r w:rsidR="000A3647">
        <w:t xml:space="preserve">  Shakespeare’s characterizations endure because of their complexity</w:t>
      </w:r>
      <w:r w:rsidR="00F17D89">
        <w:t xml:space="preserve">.  </w:t>
      </w:r>
      <w:r w:rsidR="001E15E4">
        <w:t>Tombs</w:t>
      </w:r>
      <w:r w:rsidR="00F17D89">
        <w:t xml:space="preserve"> writes</w:t>
      </w:r>
      <w:r w:rsidR="001E15E4">
        <w:t>, “Shakespeare not only lets daylight in upon majesty…but subjects it to a withering glare, showing kings humiliated, deposed and killed.  The plays are overwhelmingly political: the conflicts and decisions of people actin</w:t>
      </w:r>
      <w:r w:rsidR="00F17D89">
        <w:t>g</w:t>
      </w:r>
      <w:r w:rsidR="001E15E4">
        <w:t xml:space="preserve"> out of ambition, lust, pride, fear, revenge, jealousy—an</w:t>
      </w:r>
      <w:r w:rsidR="000A3647">
        <w:t>d</w:t>
      </w:r>
      <w:r w:rsidR="001E15E4">
        <w:t xml:space="preserve"> occasionally loyalty, faith or </w:t>
      </w:r>
      <w:proofErr w:type="spellStart"/>
      <w:r w:rsidR="001E15E4">
        <w:t>honour</w:t>
      </w:r>
      <w:proofErr w:type="spellEnd"/>
      <w:r w:rsidR="00F17D89">
        <w:t>”</w:t>
      </w:r>
      <w:r w:rsidR="000A3647">
        <w:t xml:space="preserve"> (the last quality is </w:t>
      </w:r>
      <w:r w:rsidR="001E15E4">
        <w:t>a mere word</w:t>
      </w:r>
      <w:r w:rsidR="000A3647">
        <w:t>, Shakespeare’s</w:t>
      </w:r>
      <w:r w:rsidR="00F17D89">
        <w:t xml:space="preserve"> character Falstaff laughs</w:t>
      </w:r>
      <w:r w:rsidR="000A3647">
        <w:t>)</w:t>
      </w:r>
      <w:r w:rsidR="00981238">
        <w:t>.</w:t>
      </w:r>
      <w:r w:rsidR="001E15E4">
        <w:t xml:space="preserve">  </w:t>
      </w:r>
      <w:r w:rsidR="00F17D89">
        <w:t>“</w:t>
      </w:r>
      <w:r w:rsidR="001E15E4">
        <w:t xml:space="preserve">Their efforts and aims are often futile, absurd and meaningless.  Even the most just or glorious war brings waste, corruption, cruelty </w:t>
      </w:r>
      <w:r w:rsidR="001E15E4">
        <w:lastRenderedPageBreak/>
        <w:t>and death.  His kings and queens are as human as his peasants—selfish, cruel, doubting, incapable, lecherous, perfidious, but rarely very chivalrous, and sacred only by the grace of their subjects.”</w:t>
      </w:r>
      <w:r w:rsidR="007D167D">
        <w:rPr>
          <w:rStyle w:val="FootnoteReference"/>
        </w:rPr>
        <w:footnoteReference w:id="1"/>
      </w:r>
      <w:r w:rsidR="001E15E4">
        <w:t xml:space="preserve">  Shakespeare’s most sympathetic king is Henry V</w:t>
      </w:r>
      <w:r w:rsidR="00E521ED">
        <w:t xml:space="preserve">, whom he shows as a dissolute youth </w:t>
      </w:r>
      <w:r w:rsidR="00F17D89">
        <w:t xml:space="preserve">in the company of Falstaff </w:t>
      </w:r>
      <w:r w:rsidR="00E521ED">
        <w:t xml:space="preserve">and </w:t>
      </w:r>
      <w:r w:rsidR="00F17D89">
        <w:t xml:space="preserve">then </w:t>
      </w:r>
      <w:r w:rsidR="00E521ED">
        <w:t>as a commanding leader</w:t>
      </w:r>
      <w:r w:rsidR="00351A16">
        <w:t>,</w:t>
      </w:r>
      <w:r w:rsidR="00F17D89">
        <w:t xml:space="preserve"> </w:t>
      </w:r>
      <w:r w:rsidR="007D167D">
        <w:t xml:space="preserve">and </w:t>
      </w:r>
      <w:r w:rsidR="00E521ED">
        <w:t xml:space="preserve">whose encouragements upon the eve of the battle of Agincourt  (“Once more unto the breech…”) echo in </w:t>
      </w:r>
      <w:r w:rsidR="00224C51">
        <w:t xml:space="preserve">British </w:t>
      </w:r>
      <w:r w:rsidR="005332B1">
        <w:t>propaganda against the Germans, both in the First World War and in the Second (</w:t>
      </w:r>
      <w:r w:rsidR="00E521ED">
        <w:t>W</w:t>
      </w:r>
      <w:r w:rsidR="000A3647">
        <w:t>inston Churchill’s address following</w:t>
      </w:r>
      <w:r w:rsidR="005332B1">
        <w:t xml:space="preserve"> the evacuation of Dunkirk: </w:t>
      </w:r>
      <w:r w:rsidR="00E521ED">
        <w:t xml:space="preserve">“We shall fight </w:t>
      </w:r>
      <w:r w:rsidR="00F17D89">
        <w:t>on the beaches..</w:t>
      </w:r>
      <w:r w:rsidR="00E521ED">
        <w:t xml:space="preserve">.”).  Victor </w:t>
      </w:r>
      <w:proofErr w:type="spellStart"/>
      <w:r w:rsidR="00E521ED">
        <w:t>Xiong</w:t>
      </w:r>
      <w:proofErr w:type="spellEnd"/>
      <w:r>
        <w:t xml:space="preserve"> </w:t>
      </w:r>
      <w:r w:rsidR="00AC5514">
        <w:t xml:space="preserve">invests </w:t>
      </w:r>
      <w:r w:rsidR="00A35815" w:rsidRPr="00F60F4B">
        <w:rPr>
          <w:bCs/>
        </w:rPr>
        <w:t xml:space="preserve">Emperor Tang </w:t>
      </w:r>
      <w:proofErr w:type="spellStart"/>
      <w:r w:rsidR="00A35815" w:rsidRPr="00F60F4B">
        <w:rPr>
          <w:bCs/>
        </w:rPr>
        <w:t>Taizong</w:t>
      </w:r>
      <w:proofErr w:type="spellEnd"/>
      <w:r w:rsidR="00CD5DA8">
        <w:rPr>
          <w:bCs/>
        </w:rPr>
        <w:t>, who personally led his troops in war,</w:t>
      </w:r>
      <w:r w:rsidR="00E521ED">
        <w:t xml:space="preserve"> </w:t>
      </w:r>
      <w:r>
        <w:t xml:space="preserve">with </w:t>
      </w:r>
      <w:r w:rsidR="00F17D89">
        <w:t xml:space="preserve">the stature of </w:t>
      </w:r>
      <w:r w:rsidR="000A3647">
        <w:t>this king of Shakespeare’s</w:t>
      </w:r>
      <w:r w:rsidR="00E521ED">
        <w:t>.</w:t>
      </w:r>
      <w:r w:rsidR="00F17D89">
        <w:t xml:space="preserve">  </w:t>
      </w:r>
    </w:p>
    <w:p w14:paraId="51B9205F" w14:textId="3E755E55" w:rsidR="001A5C3B" w:rsidRDefault="004E463D" w:rsidP="007B6986">
      <w:pPr>
        <w:spacing w:line="276" w:lineRule="auto"/>
      </w:pPr>
      <w:r>
        <w:tab/>
      </w:r>
      <w:r w:rsidR="00E71AA8">
        <w:t xml:space="preserve">Historical fiction (that is to say, imagined psychological portraits in a verifiable past) has </w:t>
      </w:r>
      <w:r w:rsidR="000154FA">
        <w:t xml:space="preserve">attracted </w:t>
      </w:r>
      <w:r w:rsidR="00E71AA8">
        <w:t xml:space="preserve">the human imagination since Shakespeare’s time.  Walter Scott’s </w:t>
      </w:r>
      <w:r w:rsidR="00E71AA8" w:rsidRPr="00E71AA8">
        <w:rPr>
          <w:i/>
        </w:rPr>
        <w:t>Ivanhoe</w:t>
      </w:r>
      <w:r w:rsidR="00B01E1F">
        <w:t xml:space="preserve"> and</w:t>
      </w:r>
      <w:r w:rsidR="00E71AA8">
        <w:t xml:space="preserve"> </w:t>
      </w:r>
      <w:r w:rsidR="00B01E1F">
        <w:t xml:space="preserve">Victor Hugo’s </w:t>
      </w:r>
      <w:r w:rsidR="00B01E1F" w:rsidRPr="00B01E1F">
        <w:rPr>
          <w:i/>
        </w:rPr>
        <w:t>Notre-Dame de Paris</w:t>
      </w:r>
      <w:r w:rsidR="00B01E1F">
        <w:t xml:space="preserve"> did much to promote the romantic view of medieval Europe; </w:t>
      </w:r>
      <w:r w:rsidR="000154FA">
        <w:t>Dumas (</w:t>
      </w:r>
      <w:r w:rsidR="000154FA" w:rsidRPr="00A86937">
        <w:rPr>
          <w:i/>
        </w:rPr>
        <w:t>Les trois mousquetaires</w:t>
      </w:r>
      <w:r w:rsidR="000154FA">
        <w:rPr>
          <w:i/>
        </w:rPr>
        <w:t xml:space="preserve">), </w:t>
      </w:r>
      <w:r w:rsidR="00E71AA8">
        <w:t xml:space="preserve">Tolstoy </w:t>
      </w:r>
      <w:r w:rsidR="000154FA">
        <w:t>(</w:t>
      </w:r>
      <w:r w:rsidR="00E71AA8" w:rsidRPr="00E71AA8">
        <w:rPr>
          <w:i/>
        </w:rPr>
        <w:t>War and Peace</w:t>
      </w:r>
      <w:r w:rsidR="000154FA">
        <w:rPr>
          <w:i/>
        </w:rPr>
        <w:t>)</w:t>
      </w:r>
      <w:r w:rsidR="000642B9">
        <w:rPr>
          <w:i/>
        </w:rPr>
        <w:t xml:space="preserve">, </w:t>
      </w:r>
      <w:r w:rsidR="000154FA">
        <w:t xml:space="preserve">and </w:t>
      </w:r>
      <w:r w:rsidR="00B01E1F">
        <w:t xml:space="preserve">Dickens </w:t>
      </w:r>
      <w:r w:rsidR="000154FA">
        <w:t>(</w:t>
      </w:r>
      <w:r w:rsidR="00B01E1F" w:rsidRPr="00B01E1F">
        <w:rPr>
          <w:i/>
        </w:rPr>
        <w:t>Tale of Two Cities</w:t>
      </w:r>
      <w:r w:rsidR="000154FA">
        <w:rPr>
          <w:i/>
        </w:rPr>
        <w:t>)</w:t>
      </w:r>
      <w:r w:rsidR="000642B9">
        <w:rPr>
          <w:i/>
        </w:rPr>
        <w:t xml:space="preserve"> </w:t>
      </w:r>
      <w:r w:rsidR="00B01E1F">
        <w:t>made European convulsions accessible to a wide readership</w:t>
      </w:r>
      <w:r w:rsidR="00E71AA8">
        <w:t xml:space="preserve">. </w:t>
      </w:r>
      <w:r w:rsidR="00B811C4">
        <w:t xml:space="preserve">The genre has </w:t>
      </w:r>
      <w:r w:rsidR="00B01E1F">
        <w:t>matured</w:t>
      </w:r>
      <w:r w:rsidR="00DF1265">
        <w:t xml:space="preserve"> from </w:t>
      </w:r>
      <w:r w:rsidR="00B01E1F">
        <w:t>Robert Graves</w:t>
      </w:r>
      <w:r w:rsidR="00A86937">
        <w:t xml:space="preserve"> (</w:t>
      </w:r>
      <w:r w:rsidR="00A86937" w:rsidRPr="00A86937">
        <w:rPr>
          <w:i/>
        </w:rPr>
        <w:t>I, Claudius</w:t>
      </w:r>
      <w:r w:rsidR="00A86937">
        <w:t>)</w:t>
      </w:r>
      <w:r w:rsidR="000154FA">
        <w:t xml:space="preserve"> to</w:t>
      </w:r>
      <w:r w:rsidR="00CB266D">
        <w:t xml:space="preserve"> </w:t>
      </w:r>
      <w:r w:rsidR="00DD6BCE">
        <w:t xml:space="preserve">Umberto </w:t>
      </w:r>
      <w:r w:rsidR="00CB266D">
        <w:t>Eco (</w:t>
      </w:r>
      <w:r w:rsidR="00CB266D" w:rsidRPr="00CB266D">
        <w:rPr>
          <w:i/>
        </w:rPr>
        <w:t xml:space="preserve">Il </w:t>
      </w:r>
      <w:proofErr w:type="spellStart"/>
      <w:r w:rsidR="00CB266D" w:rsidRPr="00CB266D">
        <w:rPr>
          <w:i/>
        </w:rPr>
        <w:t>nome</w:t>
      </w:r>
      <w:proofErr w:type="spellEnd"/>
      <w:r w:rsidR="00CB266D" w:rsidRPr="00CB266D">
        <w:rPr>
          <w:i/>
        </w:rPr>
        <w:t xml:space="preserve"> </w:t>
      </w:r>
      <w:proofErr w:type="spellStart"/>
      <w:r w:rsidR="00CB266D" w:rsidRPr="00CB266D">
        <w:rPr>
          <w:i/>
        </w:rPr>
        <w:t>della</w:t>
      </w:r>
      <w:proofErr w:type="spellEnd"/>
      <w:r w:rsidR="00CB266D" w:rsidRPr="00CB266D">
        <w:rPr>
          <w:i/>
        </w:rPr>
        <w:t xml:space="preserve"> </w:t>
      </w:r>
      <w:proofErr w:type="spellStart"/>
      <w:r w:rsidR="00CB266D" w:rsidRPr="00CB266D">
        <w:rPr>
          <w:i/>
        </w:rPr>
        <w:t>rosa</w:t>
      </w:r>
      <w:proofErr w:type="spellEnd"/>
      <w:r w:rsidR="00CB266D">
        <w:t>) and</w:t>
      </w:r>
      <w:r w:rsidR="00B01E1F">
        <w:t xml:space="preserve"> </w:t>
      </w:r>
      <w:r w:rsidR="000154FA">
        <w:t xml:space="preserve">to </w:t>
      </w:r>
      <w:r w:rsidR="00B01E1F">
        <w:t>Hilary Mantel</w:t>
      </w:r>
      <w:r w:rsidR="00A86937">
        <w:t xml:space="preserve">’s sixteenth century London. </w:t>
      </w:r>
      <w:r w:rsidR="006C63DD">
        <w:t xml:space="preserve"> </w:t>
      </w:r>
      <w:r w:rsidR="00AC5514">
        <w:t xml:space="preserve">Distinguished scientists have written novels about illustrious forebears—the </w:t>
      </w:r>
      <w:proofErr w:type="spellStart"/>
      <w:r w:rsidR="00AC5514">
        <w:t>Evariste</w:t>
      </w:r>
      <w:proofErr w:type="spellEnd"/>
      <w:r w:rsidR="00AC5514">
        <w:t xml:space="preserve"> Galois of physicist Leopold </w:t>
      </w:r>
      <w:proofErr w:type="spellStart"/>
      <w:r w:rsidR="00AC5514">
        <w:t>Infeld</w:t>
      </w:r>
      <w:proofErr w:type="spellEnd"/>
      <w:r w:rsidR="00AC5514">
        <w:t xml:space="preserve"> (</w:t>
      </w:r>
      <w:r w:rsidR="00AC5514" w:rsidRPr="00AC5514">
        <w:rPr>
          <w:i/>
        </w:rPr>
        <w:t>Whom the Gods Love</w:t>
      </w:r>
      <w:r w:rsidR="00AC5514">
        <w:t>) and the Hippocrates of neurologist Wilder Penfield (</w:t>
      </w:r>
      <w:r w:rsidR="00AC5514" w:rsidRPr="00AC5514">
        <w:rPr>
          <w:i/>
        </w:rPr>
        <w:t>The Torch</w:t>
      </w:r>
      <w:r w:rsidR="00AC5514">
        <w:t xml:space="preserve">).  </w:t>
      </w:r>
      <w:r w:rsidR="00F17D89">
        <w:t xml:space="preserve">Professors in the </w:t>
      </w:r>
      <w:r w:rsidR="005D4036">
        <w:t xml:space="preserve">History Department at the University of Western Michigan </w:t>
      </w:r>
      <w:r w:rsidR="00F17D89">
        <w:t xml:space="preserve">are </w:t>
      </w:r>
      <w:r w:rsidR="006C63DD">
        <w:t xml:space="preserve">no strangers to </w:t>
      </w:r>
      <w:r w:rsidR="005D4036">
        <w:t>historical fiction.  Their novels have be</w:t>
      </w:r>
      <w:r w:rsidR="00981238">
        <w:t xml:space="preserve">en set in Imperial Rome and on Java during </w:t>
      </w:r>
      <w:r w:rsidR="005D4036">
        <w:t xml:space="preserve">the Second World War, and one historian has written a novel about a vegetarian future. </w:t>
      </w:r>
      <w:r w:rsidR="002E7138">
        <w:t xml:space="preserve"> </w:t>
      </w:r>
      <w:r w:rsidR="00981238">
        <w:t xml:space="preserve">Victor </w:t>
      </w:r>
      <w:proofErr w:type="spellStart"/>
      <w:r w:rsidR="00981238">
        <w:t>Xiong’s</w:t>
      </w:r>
      <w:proofErr w:type="spellEnd"/>
      <w:r w:rsidR="00981238">
        <w:t xml:space="preserve"> </w:t>
      </w:r>
      <w:r w:rsidR="000A3647">
        <w:t xml:space="preserve">story </w:t>
      </w:r>
      <w:r w:rsidR="00981238">
        <w:t xml:space="preserve">of </w:t>
      </w:r>
      <w:r w:rsidR="00A35815" w:rsidRPr="00F60F4B">
        <w:rPr>
          <w:bCs/>
        </w:rPr>
        <w:t xml:space="preserve">Emperor Tang </w:t>
      </w:r>
      <w:proofErr w:type="spellStart"/>
      <w:r w:rsidR="00A35815" w:rsidRPr="00F60F4B">
        <w:rPr>
          <w:bCs/>
        </w:rPr>
        <w:t>Taizong</w:t>
      </w:r>
      <w:proofErr w:type="spellEnd"/>
      <w:r w:rsidR="00AC5514">
        <w:rPr>
          <w:bCs/>
        </w:rPr>
        <w:t>—based on mastery of the historical sources—</w:t>
      </w:r>
      <w:r w:rsidR="00981238">
        <w:t xml:space="preserve">takes a </w:t>
      </w:r>
      <w:r w:rsidR="0016016A">
        <w:t xml:space="preserve">distinguished </w:t>
      </w:r>
      <w:r w:rsidR="00981238">
        <w:t>place in this pantheon of the writer’s craft.</w:t>
      </w:r>
    </w:p>
    <w:p w14:paraId="5FD48952" w14:textId="02E6F81E" w:rsidR="006970AD" w:rsidRDefault="004E463D" w:rsidP="007B6986">
      <w:pPr>
        <w:spacing w:line="276" w:lineRule="auto"/>
      </w:pPr>
      <w:r>
        <w:tab/>
      </w:r>
      <w:r w:rsidR="007D167D">
        <w:t>In a</w:t>
      </w:r>
      <w:r w:rsidR="00BC49D1">
        <w:t xml:space="preserve">n essay originating in the </w:t>
      </w:r>
      <w:proofErr w:type="spellStart"/>
      <w:r w:rsidR="00BC49D1">
        <w:t>Finzi-Contini</w:t>
      </w:r>
      <w:proofErr w:type="spellEnd"/>
      <w:r w:rsidR="00BC49D1">
        <w:t xml:space="preserve"> Lecture at Yale University in 1999</w:t>
      </w:r>
      <w:r w:rsidR="007D167D">
        <w:t xml:space="preserve">, the English writer A. S. Byatt emphasizes that storytelling attracts us because it deals with life and death.  She distinguishes among </w:t>
      </w:r>
      <w:r w:rsidR="00BC49D1">
        <w:t xml:space="preserve">three genres of </w:t>
      </w:r>
      <w:r w:rsidR="007D167D">
        <w:t xml:space="preserve">storytelling: </w:t>
      </w:r>
      <w:r w:rsidR="00BC49D1">
        <w:t xml:space="preserve">myth, fairy-tales, and novels.  </w:t>
      </w:r>
      <w:r w:rsidR="00F06675">
        <w:t xml:space="preserve">(Here I elaborate a bit on </w:t>
      </w:r>
      <w:r w:rsidR="007D167D">
        <w:t xml:space="preserve">Byatt’s discussion of the thoughts of Dutch writer Cees </w:t>
      </w:r>
      <w:proofErr w:type="spellStart"/>
      <w:r w:rsidR="007D167D">
        <w:t>Nooteboom</w:t>
      </w:r>
      <w:proofErr w:type="spellEnd"/>
      <w:r w:rsidR="00F06675">
        <w:t>.)  Myths recount</w:t>
      </w:r>
      <w:r w:rsidR="00BC49D1">
        <w:t xml:space="preserve"> events that never happened</w:t>
      </w:r>
      <w:r w:rsidR="00F06675">
        <w:t xml:space="preserve"> and explain them in a completely inadequate way; they involve people who live forever (in the Greek myths, </w:t>
      </w:r>
      <w:r w:rsidR="00F06675" w:rsidRPr="00F06675">
        <w:t>Sisyphus</w:t>
      </w:r>
      <w:r w:rsidR="001A5C3B">
        <w:t xml:space="preserve">, </w:t>
      </w:r>
      <w:r w:rsidR="00F06675">
        <w:t>Prometheus</w:t>
      </w:r>
      <w:r w:rsidR="00965418">
        <w:t>, and Medea</w:t>
      </w:r>
      <w:r w:rsidR="00F06675">
        <w:t>)</w:t>
      </w:r>
      <w:r w:rsidR="001A5C3B">
        <w:t>; they describe the origin of features of the world (</w:t>
      </w:r>
      <w:r w:rsidR="001A5C3B">
        <w:rPr>
          <w:rStyle w:val="st"/>
          <w:rFonts w:eastAsia="Times New Roman"/>
        </w:rPr>
        <w:t xml:space="preserve">Mount </w:t>
      </w:r>
      <w:proofErr w:type="spellStart"/>
      <w:r w:rsidR="001A5C3B">
        <w:rPr>
          <w:rStyle w:val="st"/>
          <w:rFonts w:eastAsia="Times New Roman"/>
        </w:rPr>
        <w:t>Tangkuban</w:t>
      </w:r>
      <w:proofErr w:type="spellEnd"/>
      <w:r w:rsidR="001A5C3B">
        <w:rPr>
          <w:rStyle w:val="st"/>
          <w:rFonts w:eastAsia="Times New Roman"/>
        </w:rPr>
        <w:t xml:space="preserve"> </w:t>
      </w:r>
      <w:proofErr w:type="spellStart"/>
      <w:r w:rsidR="001A5C3B">
        <w:rPr>
          <w:rStyle w:val="st"/>
          <w:rFonts w:eastAsia="Times New Roman"/>
        </w:rPr>
        <w:t>Perahu</w:t>
      </w:r>
      <w:proofErr w:type="spellEnd"/>
      <w:r w:rsidR="001A5C3B">
        <w:rPr>
          <w:rStyle w:val="st"/>
          <w:rFonts w:eastAsia="Times New Roman"/>
        </w:rPr>
        <w:t>, the “overturned boat”</w:t>
      </w:r>
      <w:r w:rsidR="001A5C3B">
        <w:rPr>
          <w:rFonts w:eastAsia="Times New Roman"/>
          <w:szCs w:val="24"/>
        </w:rPr>
        <w:t xml:space="preserve"> </w:t>
      </w:r>
      <w:r w:rsidR="001A5C3B">
        <w:t>on central Java</w:t>
      </w:r>
      <w:r w:rsidR="00AC5514">
        <w:t>)</w:t>
      </w:r>
      <w:r w:rsidR="001A5C3B">
        <w:t xml:space="preserve">. </w:t>
      </w:r>
      <w:r w:rsidR="006C63DD">
        <w:t xml:space="preserve"> </w:t>
      </w:r>
      <w:r w:rsidR="001A5C3B">
        <w:t xml:space="preserve">The failure of myths </w:t>
      </w:r>
      <w:r w:rsidR="00D44E4C">
        <w:t>in</w:t>
      </w:r>
      <w:r w:rsidR="001A5C3B">
        <w:t xml:space="preserve"> con</w:t>
      </w:r>
      <w:r w:rsidR="00D44E4C">
        <w:t>soling</w:t>
      </w:r>
      <w:r w:rsidR="001A5C3B">
        <w:t xml:space="preserve"> the </w:t>
      </w:r>
      <w:r w:rsidR="000A3647">
        <w:t xml:space="preserve">inevitable </w:t>
      </w:r>
      <w:r w:rsidR="001A5C3B">
        <w:t>disappointment</w:t>
      </w:r>
      <w:r w:rsidR="000A3647">
        <w:t>s</w:t>
      </w:r>
      <w:r w:rsidR="001A5C3B">
        <w:t xml:space="preserve"> of life gives rise to fairy-tales, </w:t>
      </w:r>
      <w:r w:rsidR="000A3647">
        <w:t xml:space="preserve">which are </w:t>
      </w:r>
      <w:r w:rsidR="00D44E4C">
        <w:t>instructive stories about goodness and its opposite; fairy-stories affirm the lie of contentment (“they l</w:t>
      </w:r>
      <w:r w:rsidR="002E7138">
        <w:t>ived happily ever-after”).  Different from myths and fairy-tales,</w:t>
      </w:r>
      <w:r w:rsidR="00D44E4C">
        <w:t xml:space="preserve"> novels tell stories plausibly, even if they include dream sequences and contradictory perceptions of the world</w:t>
      </w:r>
      <w:r w:rsidR="000A3647">
        <w:t xml:space="preserve">. </w:t>
      </w:r>
      <w:r w:rsidR="002E7138">
        <w:t xml:space="preserve"> </w:t>
      </w:r>
      <w:r w:rsidR="000A3647">
        <w:t>But</w:t>
      </w:r>
      <w:r w:rsidR="002B1954">
        <w:t xml:space="preserve"> for </w:t>
      </w:r>
      <w:r w:rsidR="000A3647">
        <w:t xml:space="preserve">the privilege of </w:t>
      </w:r>
      <w:r w:rsidR="002B1954">
        <w:t xml:space="preserve">allowing us to see ourselves in a new light, novelists </w:t>
      </w:r>
      <w:r w:rsidR="00177A33">
        <w:t xml:space="preserve">relinquish the </w:t>
      </w:r>
      <w:proofErr w:type="spellStart"/>
      <w:r w:rsidR="00177A33">
        <w:t>rôle</w:t>
      </w:r>
      <w:proofErr w:type="spellEnd"/>
      <w:r w:rsidR="00177A33">
        <w:t xml:space="preserve"> of counselor or seer</w:t>
      </w:r>
      <w:r w:rsidR="00D44E4C">
        <w:t>.</w:t>
      </w:r>
      <w:r w:rsidR="007D167D">
        <w:rPr>
          <w:rStyle w:val="FootnoteReference"/>
        </w:rPr>
        <w:footnoteReference w:id="2"/>
      </w:r>
      <w:r w:rsidR="00D44E4C">
        <w:t xml:space="preserve">  </w:t>
      </w:r>
      <w:r w:rsidR="000A3647">
        <w:t>Only implicitly does a successful fictional account instruct us about the path to a virtuous life.</w:t>
      </w:r>
      <w:r w:rsidR="00D44E4C">
        <w:t xml:space="preserve"> </w:t>
      </w:r>
    </w:p>
    <w:p w14:paraId="13DF091C" w14:textId="6EF92CB6" w:rsidR="00E63A0C" w:rsidRDefault="000A3647" w:rsidP="007B6986">
      <w:pPr>
        <w:spacing w:line="276" w:lineRule="auto"/>
      </w:pPr>
      <w:r>
        <w:tab/>
      </w:r>
      <w:r w:rsidR="00177A33">
        <w:t>What good, then</w:t>
      </w:r>
      <w:r>
        <w:t>,</w:t>
      </w:r>
      <w:r w:rsidR="00177A33">
        <w:t xml:space="preserve"> is a novel</w:t>
      </w:r>
      <w:r>
        <w:t xml:space="preserve"> if it does not tell us how to live</w:t>
      </w:r>
      <w:r w:rsidR="00177A33">
        <w:t>?  Why should practical people, scrambling to make their way in th</w:t>
      </w:r>
      <w:r w:rsidR="00BB063F">
        <w:t xml:space="preserve">e world, spend time with this art form?  One answer is that, in their life, people continually appeal to art in adornment and in the cultivation of the senses. </w:t>
      </w:r>
      <w:r>
        <w:t xml:space="preserve"> It follows that we are wise to </w:t>
      </w:r>
      <w:r w:rsidR="00BB063F">
        <w:t>direct attention to deep works of art rather than to shallow ones</w:t>
      </w:r>
      <w:r w:rsidR="00AA00CC">
        <w:t xml:space="preserve">, to focus </w:t>
      </w:r>
      <w:r w:rsidR="00AA00CC">
        <w:lastRenderedPageBreak/>
        <w:t xml:space="preserve">on </w:t>
      </w:r>
      <w:r>
        <w:t xml:space="preserve">Kunst </w:t>
      </w:r>
      <w:r w:rsidR="00AA00CC">
        <w:t xml:space="preserve">rather than on </w:t>
      </w:r>
      <w:r>
        <w:t>Kitsch</w:t>
      </w:r>
      <w:r w:rsidR="00AA00CC">
        <w:t xml:space="preserve">, in the terminology of </w:t>
      </w:r>
      <w:r>
        <w:t xml:space="preserve">art criticism.  </w:t>
      </w:r>
      <w:r w:rsidR="00BB063F">
        <w:t xml:space="preserve">Another answer is that novels require readers for their full appreciation.  Novels are written to be read, and they achieve significance when they are discussed.  </w:t>
      </w:r>
      <w:r w:rsidR="007825B3">
        <w:t xml:space="preserve">This is what Ernst H. </w:t>
      </w:r>
      <w:proofErr w:type="spellStart"/>
      <w:r w:rsidR="007825B3">
        <w:t>Gombrich</w:t>
      </w:r>
      <w:proofErr w:type="spellEnd"/>
      <w:r w:rsidR="007825B3">
        <w:t xml:space="preserve"> called, in</w:t>
      </w:r>
      <w:r w:rsidR="00E63A0C">
        <w:t xml:space="preserve"> his influential book </w:t>
      </w:r>
      <w:r w:rsidR="00E63A0C" w:rsidRPr="00E63A0C">
        <w:rPr>
          <w:i/>
        </w:rPr>
        <w:t>Art and Illusion</w:t>
      </w:r>
      <w:r w:rsidR="007825B3">
        <w:t>, the “</w:t>
      </w:r>
      <w:r w:rsidR="009D3D98">
        <w:t>beholder</w:t>
      </w:r>
      <w:r w:rsidR="007825B3">
        <w:t>’s share”</w:t>
      </w:r>
      <w:r w:rsidR="00E63A0C">
        <w:t>—how the viewer of a work of art supplies essential meaning to it.  Here is why some works of art assume special importance long after they are created (and also why some late twentieth-c</w:t>
      </w:r>
      <w:r w:rsidR="00AA00CC">
        <w:t>entury critics believed that every work of</w:t>
      </w:r>
      <w:r w:rsidR="00E63A0C">
        <w:t xml:space="preserve"> art exists to be re-interpreted for all time).</w:t>
      </w:r>
      <w:r w:rsidR="00E63A0C">
        <w:rPr>
          <w:rStyle w:val="FootnoteReference"/>
        </w:rPr>
        <w:footnoteReference w:id="3"/>
      </w:r>
    </w:p>
    <w:p w14:paraId="47637A2F" w14:textId="1C0DD7A5" w:rsidR="006C63DD" w:rsidRDefault="004E463D" w:rsidP="007B6986">
      <w:pPr>
        <w:spacing w:line="276" w:lineRule="auto"/>
      </w:pPr>
      <w:r>
        <w:tab/>
      </w:r>
      <w:r w:rsidR="00E63A0C">
        <w:t xml:space="preserve">As a work of art, Victor </w:t>
      </w:r>
      <w:proofErr w:type="spellStart"/>
      <w:r w:rsidR="00E63A0C">
        <w:t>Xiong’s</w:t>
      </w:r>
      <w:proofErr w:type="spellEnd"/>
      <w:r w:rsidR="00E63A0C">
        <w:t xml:space="preserve"> book rewards a beholder</w:t>
      </w:r>
      <w:r w:rsidR="005F32C9">
        <w:t>.  The prose is direct and uninflected.  Nearly every sentence evokes an image</w:t>
      </w:r>
      <w:r w:rsidR="009A43CE">
        <w:t xml:space="preserve">, and one delights in looking up from the book to turn the images this way and that.  The reader is like a free-diver </w:t>
      </w:r>
      <w:r w:rsidR="00A00F1F">
        <w:t xml:space="preserve">exploring </w:t>
      </w:r>
      <w:r w:rsidR="009A43CE">
        <w:t xml:space="preserve">the Antikythera wreck in Greece early in the twentieth century, </w:t>
      </w:r>
      <w:r w:rsidR="007F6FCC">
        <w:t>surfacing</w:t>
      </w:r>
      <w:r w:rsidR="009A43CE">
        <w:t xml:space="preserve"> after a short period of time </w:t>
      </w:r>
      <w:r w:rsidR="00AA00CC">
        <w:t>to contemplate a treasure plucked from the sea-bottom</w:t>
      </w:r>
      <w:r w:rsidR="009A43CE">
        <w:t>.</w:t>
      </w:r>
      <w:r w:rsidR="009A43CE">
        <w:rPr>
          <w:rStyle w:val="FootnoteReference"/>
        </w:rPr>
        <w:footnoteReference w:id="4"/>
      </w:r>
      <w:r w:rsidR="005F32C9">
        <w:t xml:space="preserve"> </w:t>
      </w:r>
      <w:r w:rsidR="007F6FCC">
        <w:t xml:space="preserve"> </w:t>
      </w:r>
      <w:r w:rsidR="004137C7">
        <w:t xml:space="preserve">We dive again and again into antiquity, which we find both familiar and foreign.  </w:t>
      </w:r>
      <w:r w:rsidR="006C2227">
        <w:t xml:space="preserve">In addition to </w:t>
      </w:r>
      <w:r w:rsidR="00E64E98">
        <w:t>revealing details of diet</w:t>
      </w:r>
      <w:r w:rsidR="00AA00CC">
        <w:t>,</w:t>
      </w:r>
      <w:r w:rsidR="00E64E98">
        <w:t xml:space="preserve"> dress, and architecture</w:t>
      </w:r>
      <w:r w:rsidR="006C2227">
        <w:t xml:space="preserve">, Victor </w:t>
      </w:r>
      <w:proofErr w:type="spellStart"/>
      <w:r w:rsidR="006C2227">
        <w:t>Xiong</w:t>
      </w:r>
      <w:proofErr w:type="spellEnd"/>
      <w:r w:rsidR="006C2227">
        <w:t xml:space="preserve"> supplies dialogue for the imperial court. </w:t>
      </w:r>
      <w:r w:rsidR="004137C7">
        <w:t xml:space="preserve"> </w:t>
      </w:r>
      <w:r w:rsidR="00AA00CC">
        <w:t xml:space="preserve">At one point, the emperor is met by his son, who is so overcome by devotion that he sucks the emperor’s nipples—a simple gesture that </w:t>
      </w:r>
      <w:r w:rsidR="005B5409">
        <w:t xml:space="preserve">to my knowledge </w:t>
      </w:r>
      <w:r w:rsidR="00AA00CC">
        <w:t xml:space="preserve">has not been recorded for European royalty.  </w:t>
      </w:r>
      <w:r w:rsidR="006C2227" w:rsidRPr="00E64E98">
        <w:rPr>
          <w:i/>
        </w:rPr>
        <w:t>Heavenly Khan</w:t>
      </w:r>
      <w:r w:rsidR="00A83D4D">
        <w:t xml:space="preserve"> presents a marvelous picture of </w:t>
      </w:r>
      <w:r w:rsidR="00674227">
        <w:t xml:space="preserve">the </w:t>
      </w:r>
      <w:r w:rsidR="006C2227">
        <w:t xml:space="preserve">life-giver to one of the great epochs of civilization.  </w:t>
      </w:r>
    </w:p>
    <w:p w14:paraId="1334D151" w14:textId="77777777" w:rsidR="00670F50" w:rsidRDefault="00670F50" w:rsidP="007B6986">
      <w:pPr>
        <w:spacing w:line="276" w:lineRule="auto"/>
        <w:rPr>
          <w:lang w:eastAsia="zh-CN"/>
        </w:rPr>
      </w:pPr>
    </w:p>
    <w:p w14:paraId="792A9A7C" w14:textId="77777777" w:rsidR="00670F50" w:rsidRDefault="00670F50" w:rsidP="007B6986">
      <w:pPr>
        <w:spacing w:line="276" w:lineRule="auto"/>
        <w:ind w:right="180"/>
        <w:jc w:val="right"/>
      </w:pPr>
    </w:p>
    <w:p w14:paraId="4996C65E" w14:textId="77777777" w:rsidR="00670F50" w:rsidRDefault="006C63DD" w:rsidP="007B6986">
      <w:pPr>
        <w:spacing w:line="276" w:lineRule="auto"/>
        <w:ind w:right="180"/>
        <w:jc w:val="right"/>
      </w:pPr>
      <w:r>
        <w:t xml:space="preserve">Lewis </w:t>
      </w:r>
      <w:proofErr w:type="spellStart"/>
      <w:r>
        <w:t>Pyenson</w:t>
      </w:r>
      <w:proofErr w:type="spellEnd"/>
    </w:p>
    <w:p w14:paraId="4E53448D" w14:textId="0F8AB79E" w:rsidR="006C63DD" w:rsidRDefault="00670F50" w:rsidP="007B6986">
      <w:pPr>
        <w:spacing w:line="276" w:lineRule="auto"/>
        <w:ind w:right="180"/>
        <w:jc w:val="right"/>
        <w:rPr>
          <w:lang w:eastAsia="zh-CN"/>
        </w:rPr>
      </w:pPr>
      <w:r>
        <w:rPr>
          <w:rFonts w:hint="eastAsia"/>
          <w:lang w:eastAsia="zh-CN"/>
        </w:rPr>
        <w:t>白鹿文</w:t>
      </w:r>
    </w:p>
    <w:p w14:paraId="57837C49" w14:textId="7B553978" w:rsidR="00670F50" w:rsidRDefault="00670F50" w:rsidP="007B6986">
      <w:pPr>
        <w:spacing w:line="276" w:lineRule="auto"/>
        <w:ind w:right="180"/>
        <w:jc w:val="right"/>
      </w:pPr>
      <w:r>
        <w:t>Professor of History</w:t>
      </w:r>
    </w:p>
    <w:p w14:paraId="05815CD7" w14:textId="77777777" w:rsidR="00670F50" w:rsidRDefault="00670F50" w:rsidP="007B6986">
      <w:pPr>
        <w:spacing w:line="276" w:lineRule="auto"/>
        <w:ind w:right="180"/>
        <w:jc w:val="right"/>
      </w:pPr>
      <w:r>
        <w:t>Fellow of Royal Academy of Canada</w:t>
      </w:r>
    </w:p>
    <w:p w14:paraId="72758586" w14:textId="77777777" w:rsidR="00670F50" w:rsidRDefault="00670F50" w:rsidP="007B6986">
      <w:pPr>
        <w:spacing w:line="276" w:lineRule="auto"/>
        <w:ind w:right="180"/>
        <w:jc w:val="right"/>
      </w:pPr>
    </w:p>
    <w:p w14:paraId="6B79A924" w14:textId="4ED365D1" w:rsidR="006C63DD" w:rsidRDefault="006C63DD" w:rsidP="007B6986">
      <w:pPr>
        <w:spacing w:line="276" w:lineRule="auto"/>
        <w:ind w:right="180"/>
        <w:jc w:val="right"/>
      </w:pPr>
      <w:r>
        <w:t>Kalamazoo</w:t>
      </w:r>
    </w:p>
    <w:p w14:paraId="73D32325" w14:textId="20BF9EA7" w:rsidR="006C63DD" w:rsidRDefault="006C63DD" w:rsidP="007B6986">
      <w:pPr>
        <w:spacing w:line="276" w:lineRule="auto"/>
        <w:ind w:right="180"/>
        <w:jc w:val="right"/>
      </w:pPr>
      <w:r>
        <w:t>March 2018</w:t>
      </w:r>
    </w:p>
    <w:p w14:paraId="69EF998D" w14:textId="77777777" w:rsidR="00164752" w:rsidRDefault="00164752" w:rsidP="007B6986">
      <w:pPr>
        <w:spacing w:line="276" w:lineRule="auto"/>
        <w:jc w:val="right"/>
      </w:pPr>
    </w:p>
    <w:p w14:paraId="27E2B348" w14:textId="3D55FD13" w:rsidR="00164752" w:rsidRPr="006C2227" w:rsidRDefault="00164752" w:rsidP="007B6986">
      <w:pPr>
        <w:spacing w:line="276" w:lineRule="auto"/>
        <w:jc w:val="right"/>
      </w:pPr>
    </w:p>
    <w:sectPr w:rsidR="00164752" w:rsidRPr="006C2227" w:rsidSect="00A34AE8">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ABDE6" w14:textId="77777777" w:rsidR="007524D0" w:rsidRDefault="007524D0" w:rsidP="0016016A">
      <w:r>
        <w:separator/>
      </w:r>
    </w:p>
  </w:endnote>
  <w:endnote w:type="continuationSeparator" w:id="0">
    <w:p w14:paraId="572F5031" w14:textId="77777777" w:rsidR="007524D0" w:rsidRDefault="007524D0" w:rsidP="0016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7FBC2" w14:textId="77777777" w:rsidR="007524D0" w:rsidRDefault="007524D0" w:rsidP="0016016A">
      <w:r>
        <w:separator/>
      </w:r>
    </w:p>
  </w:footnote>
  <w:footnote w:type="continuationSeparator" w:id="0">
    <w:p w14:paraId="45E35B52" w14:textId="77777777" w:rsidR="007524D0" w:rsidRDefault="007524D0" w:rsidP="0016016A">
      <w:r>
        <w:continuationSeparator/>
      </w:r>
    </w:p>
  </w:footnote>
  <w:footnote w:id="1">
    <w:p w14:paraId="1BD5E0C9" w14:textId="2C8D13F1" w:rsidR="007D167D" w:rsidRDefault="007D167D" w:rsidP="00670F50">
      <w:pPr>
        <w:pStyle w:val="FootnoteText"/>
      </w:pPr>
      <w:r>
        <w:rPr>
          <w:rStyle w:val="FootnoteReference"/>
        </w:rPr>
        <w:footnoteRef/>
      </w:r>
      <w:r w:rsidR="00A35815">
        <w:t xml:space="preserve"> Robert Tombs, </w:t>
      </w:r>
      <w:r w:rsidR="00A35815" w:rsidRPr="00A35815">
        <w:rPr>
          <w:i/>
        </w:rPr>
        <w:t>The English and Their History</w:t>
      </w:r>
      <w:r w:rsidR="00A35815">
        <w:t xml:space="preserve"> (London: Penguin/Random House, 2015), 152.</w:t>
      </w:r>
    </w:p>
  </w:footnote>
  <w:footnote w:id="2">
    <w:p w14:paraId="5E5964A2" w14:textId="5319789C" w:rsidR="007D167D" w:rsidRDefault="007D167D" w:rsidP="00670F50">
      <w:pPr>
        <w:pStyle w:val="FootnoteText"/>
      </w:pPr>
      <w:r>
        <w:rPr>
          <w:rStyle w:val="FootnoteReference"/>
        </w:rPr>
        <w:footnoteRef/>
      </w:r>
      <w:r>
        <w:t xml:space="preserve"> A. S. Byatt, “Old Tales, New Forms,” in Byatt, </w:t>
      </w:r>
      <w:r w:rsidRPr="007D167D">
        <w:rPr>
          <w:i/>
        </w:rPr>
        <w:t xml:space="preserve">On Histories and Stories: Selected Essays </w:t>
      </w:r>
      <w:r w:rsidR="00670F50">
        <w:t xml:space="preserve">(London: </w:t>
      </w:r>
      <w:r>
        <w:t>Chatto &amp; Windus, 2000), 123-50, on 147-48.</w:t>
      </w:r>
    </w:p>
  </w:footnote>
  <w:footnote w:id="3">
    <w:p w14:paraId="1D215147" w14:textId="651A9488" w:rsidR="00E63A0C" w:rsidRDefault="00E63A0C" w:rsidP="00670F50">
      <w:pPr>
        <w:pStyle w:val="FootnoteText"/>
      </w:pPr>
      <w:r>
        <w:rPr>
          <w:rStyle w:val="FootnoteReference"/>
        </w:rPr>
        <w:footnoteRef/>
      </w:r>
      <w:r>
        <w:t xml:space="preserve"> E. H. </w:t>
      </w:r>
      <w:r>
        <w:t xml:space="preserve">Gombrich, </w:t>
      </w:r>
      <w:r w:rsidRPr="00E63A0C">
        <w:rPr>
          <w:i/>
        </w:rPr>
        <w:t>Art and Illusion: A Study in the Psychology of Pictorial Representation</w:t>
      </w:r>
      <w:r>
        <w:t xml:space="preserve"> (1960; Princeton: Princeton University Press, 2000</w:t>
      </w:r>
      <w:r w:rsidR="005F32C9">
        <w:t>), Part T</w:t>
      </w:r>
      <w:r>
        <w:t>hree: “The Beholder’s Share,” 179-287.</w:t>
      </w:r>
      <w:r w:rsidR="005F32C9">
        <w:t xml:space="preserve">  Paul de Man is known for having advocated that all writing is devoid of fixed meaning.  Alvin Kernan, </w:t>
      </w:r>
      <w:r w:rsidR="005F32C9" w:rsidRPr="00D55C4C">
        <w:rPr>
          <w:i/>
        </w:rPr>
        <w:t>In Plato’</w:t>
      </w:r>
      <w:r w:rsidR="005F32C9">
        <w:rPr>
          <w:i/>
        </w:rPr>
        <w:t xml:space="preserve">s Cave </w:t>
      </w:r>
      <w:r w:rsidR="005F32C9">
        <w:t>(New Haven: Yale University Press, 2000), 196-201.</w:t>
      </w:r>
    </w:p>
  </w:footnote>
  <w:footnote w:id="4">
    <w:p w14:paraId="0E47C199" w14:textId="48749E66" w:rsidR="009A43CE" w:rsidRDefault="009A43CE" w:rsidP="00670F50">
      <w:pPr>
        <w:pStyle w:val="FootnoteText"/>
      </w:pPr>
      <w:r>
        <w:rPr>
          <w:rStyle w:val="FootnoteReference"/>
        </w:rPr>
        <w:footnoteRef/>
      </w:r>
      <w:r>
        <w:t xml:space="preserve"> Alexander Jones, </w:t>
      </w:r>
      <w:r w:rsidRPr="009A43CE">
        <w:rPr>
          <w:i/>
        </w:rPr>
        <w:t xml:space="preserve">A Portable Cosmos: Revealing the </w:t>
      </w:r>
      <w:r w:rsidRPr="009A43CE">
        <w:rPr>
          <w:i/>
        </w:rPr>
        <w:t>Antikythera Mechanism, Scientific Wonder of the Ancient World</w:t>
      </w:r>
      <w:r>
        <w:t xml:space="preserve"> (Oxford: Oxford University Press,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6AA93" w14:textId="77777777" w:rsidR="0016016A" w:rsidRDefault="0016016A" w:rsidP="00551EB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4D12CA" w14:textId="77777777" w:rsidR="0016016A" w:rsidRDefault="0016016A" w:rsidP="0016016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BB55E" w14:textId="77777777" w:rsidR="0016016A" w:rsidRDefault="0016016A" w:rsidP="00551EB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4C1C">
      <w:rPr>
        <w:rStyle w:val="PageNumber"/>
        <w:noProof/>
      </w:rPr>
      <w:t>1</w:t>
    </w:r>
    <w:r>
      <w:rPr>
        <w:rStyle w:val="PageNumber"/>
      </w:rPr>
      <w:fldChar w:fldCharType="end"/>
    </w:r>
  </w:p>
  <w:p w14:paraId="01C8F1AA" w14:textId="77777777" w:rsidR="0016016A" w:rsidRDefault="0016016A" w:rsidP="0016016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9D9"/>
    <w:rsid w:val="000154FA"/>
    <w:rsid w:val="000642B9"/>
    <w:rsid w:val="000A3647"/>
    <w:rsid w:val="000E124C"/>
    <w:rsid w:val="00133D23"/>
    <w:rsid w:val="0016016A"/>
    <w:rsid w:val="00164752"/>
    <w:rsid w:val="00176112"/>
    <w:rsid w:val="00177A33"/>
    <w:rsid w:val="001A5C3B"/>
    <w:rsid w:val="001B1EAB"/>
    <w:rsid w:val="001B3460"/>
    <w:rsid w:val="001D1078"/>
    <w:rsid w:val="001E15E4"/>
    <w:rsid w:val="001E17A5"/>
    <w:rsid w:val="002127CC"/>
    <w:rsid w:val="00224C51"/>
    <w:rsid w:val="00226D19"/>
    <w:rsid w:val="002349D9"/>
    <w:rsid w:val="00237408"/>
    <w:rsid w:val="002859A6"/>
    <w:rsid w:val="002B1954"/>
    <w:rsid w:val="002E7138"/>
    <w:rsid w:val="002E7D77"/>
    <w:rsid w:val="002F413B"/>
    <w:rsid w:val="00324A68"/>
    <w:rsid w:val="00351A16"/>
    <w:rsid w:val="003B0F51"/>
    <w:rsid w:val="003D2E82"/>
    <w:rsid w:val="004137C7"/>
    <w:rsid w:val="00422006"/>
    <w:rsid w:val="00467394"/>
    <w:rsid w:val="00484AB0"/>
    <w:rsid w:val="00487BEB"/>
    <w:rsid w:val="004E463D"/>
    <w:rsid w:val="005332B1"/>
    <w:rsid w:val="00535734"/>
    <w:rsid w:val="00547B69"/>
    <w:rsid w:val="005B37DE"/>
    <w:rsid w:val="005B5409"/>
    <w:rsid w:val="005D4036"/>
    <w:rsid w:val="005E1C79"/>
    <w:rsid w:val="005F32C9"/>
    <w:rsid w:val="006030C1"/>
    <w:rsid w:val="006620DF"/>
    <w:rsid w:val="00670F50"/>
    <w:rsid w:val="00674227"/>
    <w:rsid w:val="006970AD"/>
    <w:rsid w:val="006A08FD"/>
    <w:rsid w:val="006A5D1E"/>
    <w:rsid w:val="006C2227"/>
    <w:rsid w:val="006C63DD"/>
    <w:rsid w:val="00731ADA"/>
    <w:rsid w:val="007524D0"/>
    <w:rsid w:val="00765AFA"/>
    <w:rsid w:val="00776152"/>
    <w:rsid w:val="00776999"/>
    <w:rsid w:val="007825B3"/>
    <w:rsid w:val="007B6986"/>
    <w:rsid w:val="007D167D"/>
    <w:rsid w:val="007F6FCC"/>
    <w:rsid w:val="008532C3"/>
    <w:rsid w:val="00877327"/>
    <w:rsid w:val="008C731F"/>
    <w:rsid w:val="00921D75"/>
    <w:rsid w:val="00965418"/>
    <w:rsid w:val="00981238"/>
    <w:rsid w:val="009A43CE"/>
    <w:rsid w:val="009A4D84"/>
    <w:rsid w:val="009B1B8B"/>
    <w:rsid w:val="009D3D98"/>
    <w:rsid w:val="009D7E1F"/>
    <w:rsid w:val="00A00F1F"/>
    <w:rsid w:val="00A13FAB"/>
    <w:rsid w:val="00A22C7C"/>
    <w:rsid w:val="00A22F52"/>
    <w:rsid w:val="00A34AE8"/>
    <w:rsid w:val="00A35815"/>
    <w:rsid w:val="00A60B2F"/>
    <w:rsid w:val="00A83D4D"/>
    <w:rsid w:val="00A86937"/>
    <w:rsid w:val="00AA00CC"/>
    <w:rsid w:val="00AB792F"/>
    <w:rsid w:val="00AB7986"/>
    <w:rsid w:val="00AC5514"/>
    <w:rsid w:val="00AC6275"/>
    <w:rsid w:val="00AE4CCA"/>
    <w:rsid w:val="00B01E1F"/>
    <w:rsid w:val="00B40651"/>
    <w:rsid w:val="00B804F5"/>
    <w:rsid w:val="00B811C4"/>
    <w:rsid w:val="00BB063F"/>
    <w:rsid w:val="00BC49D1"/>
    <w:rsid w:val="00C10586"/>
    <w:rsid w:val="00C244B6"/>
    <w:rsid w:val="00CB266D"/>
    <w:rsid w:val="00CD300E"/>
    <w:rsid w:val="00CD5DA8"/>
    <w:rsid w:val="00D0721F"/>
    <w:rsid w:val="00D44E4C"/>
    <w:rsid w:val="00D90D31"/>
    <w:rsid w:val="00DC1A51"/>
    <w:rsid w:val="00DD6BCE"/>
    <w:rsid w:val="00DF1265"/>
    <w:rsid w:val="00DF31C5"/>
    <w:rsid w:val="00E521ED"/>
    <w:rsid w:val="00E63A0C"/>
    <w:rsid w:val="00E64E98"/>
    <w:rsid w:val="00E71AA8"/>
    <w:rsid w:val="00E93ED1"/>
    <w:rsid w:val="00EA4C1C"/>
    <w:rsid w:val="00EF08C8"/>
    <w:rsid w:val="00F06675"/>
    <w:rsid w:val="00F17D89"/>
    <w:rsid w:val="00F60F4B"/>
    <w:rsid w:val="00FC2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4158C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SimSun" w:hAnsi="Garamond" w:cs="Times New Roman"/>
        <w:sz w:val="24"/>
        <w:szCs w:val="3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0F4B"/>
    <w:pPr>
      <w:keepNext/>
      <w:keepLines/>
      <w:spacing w:before="240"/>
      <w:outlineLvl w:val="0"/>
    </w:pPr>
    <w:rPr>
      <w:rFonts w:asciiTheme="majorHAnsi" w:eastAsiaTheme="majorEastAsia" w:hAnsiTheme="majorHAnsi" w:cstheme="majorBidi"/>
      <w:color w:val="2E74B5"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16A"/>
    <w:pPr>
      <w:tabs>
        <w:tab w:val="center" w:pos="4680"/>
        <w:tab w:val="right" w:pos="9360"/>
      </w:tabs>
    </w:pPr>
  </w:style>
  <w:style w:type="character" w:customStyle="1" w:styleId="HeaderChar">
    <w:name w:val="Header Char"/>
    <w:basedOn w:val="DefaultParagraphFont"/>
    <w:link w:val="Header"/>
    <w:uiPriority w:val="99"/>
    <w:rsid w:val="0016016A"/>
  </w:style>
  <w:style w:type="character" w:styleId="PageNumber">
    <w:name w:val="page number"/>
    <w:basedOn w:val="DefaultParagraphFont"/>
    <w:uiPriority w:val="99"/>
    <w:semiHidden/>
    <w:unhideWhenUsed/>
    <w:rsid w:val="0016016A"/>
  </w:style>
  <w:style w:type="character" w:customStyle="1" w:styleId="st">
    <w:name w:val="st"/>
    <w:basedOn w:val="DefaultParagraphFont"/>
    <w:rsid w:val="001A5C3B"/>
  </w:style>
  <w:style w:type="paragraph" w:styleId="FootnoteText">
    <w:name w:val="footnote text"/>
    <w:basedOn w:val="Normal"/>
    <w:link w:val="FootnoteTextChar"/>
    <w:uiPriority w:val="99"/>
    <w:unhideWhenUsed/>
    <w:rsid w:val="007D167D"/>
    <w:rPr>
      <w:szCs w:val="24"/>
    </w:rPr>
  </w:style>
  <w:style w:type="character" w:customStyle="1" w:styleId="FootnoteTextChar">
    <w:name w:val="Footnote Text Char"/>
    <w:basedOn w:val="DefaultParagraphFont"/>
    <w:link w:val="FootnoteText"/>
    <w:uiPriority w:val="99"/>
    <w:rsid w:val="007D167D"/>
    <w:rPr>
      <w:szCs w:val="24"/>
    </w:rPr>
  </w:style>
  <w:style w:type="character" w:styleId="FootnoteReference">
    <w:name w:val="footnote reference"/>
    <w:basedOn w:val="DefaultParagraphFont"/>
    <w:uiPriority w:val="99"/>
    <w:unhideWhenUsed/>
    <w:rsid w:val="007D167D"/>
    <w:rPr>
      <w:vertAlign w:val="superscript"/>
    </w:rPr>
  </w:style>
  <w:style w:type="character" w:customStyle="1" w:styleId="Heading1Char">
    <w:name w:val="Heading 1 Char"/>
    <w:basedOn w:val="DefaultParagraphFont"/>
    <w:link w:val="Heading1"/>
    <w:uiPriority w:val="9"/>
    <w:rsid w:val="00F60F4B"/>
    <w:rPr>
      <w:rFonts w:asciiTheme="majorHAnsi" w:eastAsiaTheme="majorEastAsia" w:hAnsiTheme="majorHAnsi" w:cstheme="majorBidi"/>
      <w:color w:val="2E74B5"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99102">
      <w:bodyDiv w:val="1"/>
      <w:marLeft w:val="0"/>
      <w:marRight w:val="0"/>
      <w:marTop w:val="0"/>
      <w:marBottom w:val="0"/>
      <w:divBdr>
        <w:top w:val="none" w:sz="0" w:space="0" w:color="auto"/>
        <w:left w:val="none" w:sz="0" w:space="0" w:color="auto"/>
        <w:bottom w:val="none" w:sz="0" w:space="0" w:color="auto"/>
        <w:right w:val="none" w:sz="0" w:space="0" w:color="auto"/>
      </w:divBdr>
      <w:divsChild>
        <w:div w:id="20400764">
          <w:marLeft w:val="0"/>
          <w:marRight w:val="0"/>
          <w:marTop w:val="0"/>
          <w:marBottom w:val="0"/>
          <w:divBdr>
            <w:top w:val="none" w:sz="0" w:space="0" w:color="auto"/>
            <w:left w:val="none" w:sz="0" w:space="0" w:color="auto"/>
            <w:bottom w:val="none" w:sz="0" w:space="0" w:color="auto"/>
            <w:right w:val="none" w:sz="0" w:space="0" w:color="auto"/>
          </w:divBdr>
        </w:div>
      </w:divsChild>
    </w:div>
    <w:div w:id="164832694">
      <w:bodyDiv w:val="1"/>
      <w:marLeft w:val="0"/>
      <w:marRight w:val="0"/>
      <w:marTop w:val="0"/>
      <w:marBottom w:val="0"/>
      <w:divBdr>
        <w:top w:val="none" w:sz="0" w:space="0" w:color="auto"/>
        <w:left w:val="none" w:sz="0" w:space="0" w:color="auto"/>
        <w:bottom w:val="none" w:sz="0" w:space="0" w:color="auto"/>
        <w:right w:val="none" w:sz="0" w:space="0" w:color="auto"/>
      </w:divBdr>
      <w:divsChild>
        <w:div w:id="1878276851">
          <w:marLeft w:val="0"/>
          <w:marRight w:val="0"/>
          <w:marTop w:val="0"/>
          <w:marBottom w:val="0"/>
          <w:divBdr>
            <w:top w:val="none" w:sz="0" w:space="0" w:color="auto"/>
            <w:left w:val="none" w:sz="0" w:space="0" w:color="auto"/>
            <w:bottom w:val="none" w:sz="0" w:space="0" w:color="auto"/>
            <w:right w:val="none" w:sz="0" w:space="0" w:color="auto"/>
          </w:divBdr>
        </w:div>
      </w:divsChild>
    </w:div>
    <w:div w:id="253250815">
      <w:bodyDiv w:val="1"/>
      <w:marLeft w:val="0"/>
      <w:marRight w:val="0"/>
      <w:marTop w:val="0"/>
      <w:marBottom w:val="0"/>
      <w:divBdr>
        <w:top w:val="none" w:sz="0" w:space="0" w:color="auto"/>
        <w:left w:val="none" w:sz="0" w:space="0" w:color="auto"/>
        <w:bottom w:val="none" w:sz="0" w:space="0" w:color="auto"/>
        <w:right w:val="none" w:sz="0" w:space="0" w:color="auto"/>
      </w:divBdr>
      <w:divsChild>
        <w:div w:id="1074857473">
          <w:marLeft w:val="0"/>
          <w:marRight w:val="0"/>
          <w:marTop w:val="0"/>
          <w:marBottom w:val="0"/>
          <w:divBdr>
            <w:top w:val="none" w:sz="0" w:space="0" w:color="auto"/>
            <w:left w:val="none" w:sz="0" w:space="0" w:color="auto"/>
            <w:bottom w:val="none" w:sz="0" w:space="0" w:color="auto"/>
            <w:right w:val="none" w:sz="0" w:space="0" w:color="auto"/>
          </w:divBdr>
        </w:div>
        <w:div w:id="1473254342">
          <w:marLeft w:val="0"/>
          <w:marRight w:val="0"/>
          <w:marTop w:val="0"/>
          <w:marBottom w:val="0"/>
          <w:divBdr>
            <w:top w:val="none" w:sz="0" w:space="0" w:color="auto"/>
            <w:left w:val="none" w:sz="0" w:space="0" w:color="auto"/>
            <w:bottom w:val="none" w:sz="0" w:space="0" w:color="auto"/>
            <w:right w:val="none" w:sz="0" w:space="0" w:color="auto"/>
          </w:divBdr>
        </w:div>
      </w:divsChild>
    </w:div>
    <w:div w:id="951782572">
      <w:bodyDiv w:val="1"/>
      <w:marLeft w:val="0"/>
      <w:marRight w:val="0"/>
      <w:marTop w:val="0"/>
      <w:marBottom w:val="0"/>
      <w:divBdr>
        <w:top w:val="none" w:sz="0" w:space="0" w:color="auto"/>
        <w:left w:val="none" w:sz="0" w:space="0" w:color="auto"/>
        <w:bottom w:val="none" w:sz="0" w:space="0" w:color="auto"/>
        <w:right w:val="none" w:sz="0" w:space="0" w:color="auto"/>
      </w:divBdr>
    </w:div>
    <w:div w:id="1055736678">
      <w:bodyDiv w:val="1"/>
      <w:marLeft w:val="0"/>
      <w:marRight w:val="0"/>
      <w:marTop w:val="0"/>
      <w:marBottom w:val="0"/>
      <w:divBdr>
        <w:top w:val="none" w:sz="0" w:space="0" w:color="auto"/>
        <w:left w:val="none" w:sz="0" w:space="0" w:color="auto"/>
        <w:bottom w:val="none" w:sz="0" w:space="0" w:color="auto"/>
        <w:right w:val="none" w:sz="0" w:space="0" w:color="auto"/>
      </w:divBdr>
      <w:divsChild>
        <w:div w:id="1145898854">
          <w:marLeft w:val="0"/>
          <w:marRight w:val="0"/>
          <w:marTop w:val="0"/>
          <w:marBottom w:val="0"/>
          <w:divBdr>
            <w:top w:val="none" w:sz="0" w:space="0" w:color="auto"/>
            <w:left w:val="none" w:sz="0" w:space="0" w:color="auto"/>
            <w:bottom w:val="none" w:sz="0" w:space="0" w:color="auto"/>
            <w:right w:val="none" w:sz="0" w:space="0" w:color="auto"/>
          </w:divBdr>
        </w:div>
        <w:div w:id="1866479795">
          <w:marLeft w:val="0"/>
          <w:marRight w:val="0"/>
          <w:marTop w:val="0"/>
          <w:marBottom w:val="0"/>
          <w:divBdr>
            <w:top w:val="none" w:sz="0" w:space="0" w:color="auto"/>
            <w:left w:val="none" w:sz="0" w:space="0" w:color="auto"/>
            <w:bottom w:val="none" w:sz="0" w:space="0" w:color="auto"/>
            <w:right w:val="none" w:sz="0" w:space="0" w:color="auto"/>
          </w:divBdr>
        </w:div>
      </w:divsChild>
    </w:div>
    <w:div w:id="1243029143">
      <w:bodyDiv w:val="1"/>
      <w:marLeft w:val="0"/>
      <w:marRight w:val="0"/>
      <w:marTop w:val="0"/>
      <w:marBottom w:val="0"/>
      <w:divBdr>
        <w:top w:val="none" w:sz="0" w:space="0" w:color="auto"/>
        <w:left w:val="none" w:sz="0" w:space="0" w:color="auto"/>
        <w:bottom w:val="none" w:sz="0" w:space="0" w:color="auto"/>
        <w:right w:val="none" w:sz="0" w:space="0" w:color="auto"/>
      </w:divBdr>
    </w:div>
    <w:div w:id="1723168367">
      <w:bodyDiv w:val="1"/>
      <w:marLeft w:val="0"/>
      <w:marRight w:val="0"/>
      <w:marTop w:val="0"/>
      <w:marBottom w:val="0"/>
      <w:divBdr>
        <w:top w:val="none" w:sz="0" w:space="0" w:color="auto"/>
        <w:left w:val="none" w:sz="0" w:space="0" w:color="auto"/>
        <w:bottom w:val="none" w:sz="0" w:space="0" w:color="auto"/>
        <w:right w:val="none" w:sz="0" w:space="0" w:color="auto"/>
      </w:divBdr>
    </w:div>
    <w:div w:id="1978604777">
      <w:bodyDiv w:val="1"/>
      <w:marLeft w:val="0"/>
      <w:marRight w:val="0"/>
      <w:marTop w:val="0"/>
      <w:marBottom w:val="0"/>
      <w:divBdr>
        <w:top w:val="none" w:sz="0" w:space="0" w:color="auto"/>
        <w:left w:val="none" w:sz="0" w:space="0" w:color="auto"/>
        <w:bottom w:val="none" w:sz="0" w:space="0" w:color="auto"/>
        <w:right w:val="none" w:sz="0" w:space="0" w:color="auto"/>
      </w:divBdr>
    </w:div>
    <w:div w:id="21014414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1376</Words>
  <Characters>7293</Characters>
  <Application>Microsoft Office Word</Application>
  <DocSecurity>0</DocSecurity>
  <Lines>107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R Pyenson</dc:creator>
  <cp:keywords/>
  <dc:description/>
  <cp:lastModifiedBy>Victor Cunrui Xiong</cp:lastModifiedBy>
  <cp:revision>15</cp:revision>
  <cp:lastPrinted>2018-04-02T14:58:00Z</cp:lastPrinted>
  <dcterms:created xsi:type="dcterms:W3CDTF">2018-03-07T18:37:00Z</dcterms:created>
  <dcterms:modified xsi:type="dcterms:W3CDTF">2019-01-29T13:20:00Z</dcterms:modified>
</cp:coreProperties>
</file>